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3C7B" w14:textId="77777777" w:rsidR="00BA2F85" w:rsidRPr="00BA2F85" w:rsidRDefault="00BA2F85" w:rsidP="00BA2F85">
      <w:pPr>
        <w:shd w:val="clear" w:color="auto" w:fill="FFFFFF"/>
        <w:spacing w:before="1050" w:after="300" w:line="600" w:lineRule="atLeast"/>
        <w:outlineLvl w:val="1"/>
        <w:rPr>
          <w:rFonts w:ascii="Source Sans Pro" w:eastAsia="Times New Roman" w:hAnsi="Source Sans Pro" w:cs="Times New Roman"/>
          <w:b/>
          <w:bCs/>
          <w:color w:val="1B1B1B"/>
          <w:kern w:val="0"/>
          <w:sz w:val="42"/>
          <w:szCs w:val="42"/>
          <w14:ligatures w14:val="none"/>
        </w:rPr>
      </w:pPr>
      <w:r w:rsidRPr="00BA2F85">
        <w:rPr>
          <w:rFonts w:ascii="Source Sans Pro" w:eastAsia="Times New Roman" w:hAnsi="Source Sans Pro" w:cs="Times New Roman"/>
          <w:b/>
          <w:bCs/>
          <w:color w:val="1B1B1B"/>
          <w:kern w:val="0"/>
          <w:sz w:val="42"/>
          <w:szCs w:val="42"/>
          <w14:ligatures w14:val="none"/>
        </w:rPr>
        <w:t>Appendix D: POETE Solution Areas for Investments </w:t>
      </w:r>
    </w:p>
    <w:p w14:paraId="4832151F" w14:textId="77777777" w:rsidR="00BA2F85" w:rsidRPr="00BA2F85" w:rsidRDefault="00BA2F85" w:rsidP="00BA2F85">
      <w:pPr>
        <w:shd w:val="clear" w:color="auto" w:fill="FFFFFF"/>
        <w:spacing w:before="300" w:after="300" w:line="600" w:lineRule="atLeast"/>
        <w:outlineLvl w:val="1"/>
        <w:rPr>
          <w:rFonts w:ascii="Source Sans Pro" w:eastAsia="Times New Roman" w:hAnsi="Source Sans Pro" w:cs="Times New Roman"/>
          <w:b/>
          <w:bCs/>
          <w:color w:val="1B1B1B"/>
          <w:kern w:val="0"/>
          <w:sz w:val="42"/>
          <w:szCs w:val="42"/>
          <w14:ligatures w14:val="none"/>
        </w:rPr>
      </w:pPr>
      <w:r w:rsidRPr="00BA2F85">
        <w:rPr>
          <w:rFonts w:ascii="Source Sans Pro" w:eastAsia="Times New Roman" w:hAnsi="Source Sans Pro" w:cs="Times New Roman"/>
          <w:b/>
          <w:bCs/>
          <w:color w:val="1B1B1B"/>
          <w:kern w:val="0"/>
          <w:sz w:val="42"/>
          <w:szCs w:val="42"/>
          <w14:ligatures w14:val="none"/>
        </w:rPr>
        <w:pict w14:anchorId="1351182D">
          <v:rect id="_x0000_i1025" style="width:0;height:3pt" o:hralign="center" o:hrstd="t" o:hr="t" fillcolor="#a0a0a0" stroked="f"/>
        </w:pict>
      </w:r>
    </w:p>
    <w:p w14:paraId="44612951" w14:textId="77777777" w:rsidR="00BA2F85" w:rsidRPr="00BA2F85" w:rsidRDefault="00BA2F85" w:rsidP="00BA2F85">
      <w:pPr>
        <w:shd w:val="clear" w:color="auto" w:fill="FFFFFF"/>
        <w:spacing w:before="600" w:after="300" w:line="240" w:lineRule="auto"/>
        <w:outlineLvl w:val="2"/>
        <w:rPr>
          <w:rFonts w:ascii="Source Sans Pro" w:eastAsia="Times New Roman" w:hAnsi="Source Sans Pro" w:cs="Times New Roman"/>
          <w:b/>
          <w:bCs/>
          <w:color w:val="1B1B1B"/>
          <w:kern w:val="0"/>
          <w:sz w:val="32"/>
          <w:szCs w:val="32"/>
          <w14:ligatures w14:val="none"/>
        </w:rPr>
      </w:pPr>
      <w:r w:rsidRPr="00BA2F85">
        <w:rPr>
          <w:rFonts w:ascii="Source Sans Pro" w:eastAsia="Times New Roman" w:hAnsi="Source Sans Pro" w:cs="Times New Roman"/>
          <w:b/>
          <w:bCs/>
          <w:color w:val="1B1B1B"/>
          <w:kern w:val="0"/>
          <w:sz w:val="32"/>
          <w:szCs w:val="32"/>
          <w14:ligatures w14:val="none"/>
        </w:rPr>
        <w:t>Overview</w:t>
      </w:r>
    </w:p>
    <w:p w14:paraId="5E7AE735"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Funding guidelines established within this section support developing, updating, and implementing a Cybersecurity Plan. Allowable investments made in support of this goal must fall into the categories of planning, organization, equipment, training, or exercises (POETE), aligned to closing capability gaps or sustaining capabilities. </w:t>
      </w:r>
    </w:p>
    <w:p w14:paraId="2C04D3D7" w14:textId="77777777" w:rsidR="00BA2F85" w:rsidRPr="00BA2F85" w:rsidRDefault="00BA2F85" w:rsidP="00BA2F85">
      <w:pPr>
        <w:shd w:val="clear" w:color="auto" w:fill="FFFFFF"/>
        <w:spacing w:before="600" w:after="300" w:line="240" w:lineRule="auto"/>
        <w:outlineLvl w:val="2"/>
        <w:rPr>
          <w:rFonts w:ascii="Source Sans Pro" w:eastAsia="Times New Roman" w:hAnsi="Source Sans Pro" w:cs="Times New Roman"/>
          <w:b/>
          <w:bCs/>
          <w:color w:val="1B1B1B"/>
          <w:kern w:val="0"/>
          <w:sz w:val="32"/>
          <w:szCs w:val="32"/>
          <w14:ligatures w14:val="none"/>
        </w:rPr>
      </w:pPr>
      <w:r w:rsidRPr="00BA2F85">
        <w:rPr>
          <w:rFonts w:ascii="Source Sans Pro" w:eastAsia="Times New Roman" w:hAnsi="Source Sans Pro" w:cs="Times New Roman"/>
          <w:b/>
          <w:bCs/>
          <w:color w:val="1B1B1B"/>
          <w:kern w:val="0"/>
          <w:sz w:val="32"/>
          <w:szCs w:val="32"/>
          <w14:ligatures w14:val="none"/>
        </w:rPr>
        <w:t>Planning</w:t>
      </w:r>
    </w:p>
    <w:p w14:paraId="503FB50C"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Planning costs are allowable under this program. SLCGP funds may be used for a range of planning activities, such as those associated with the development, review, and revision of the holistic, entity-wide Cybersecurity Plan and other planning activities that support the program goals and objectives and Cybersecurity Planning Committee requirements.</w:t>
      </w:r>
    </w:p>
    <w:p w14:paraId="33A7EA91" w14:textId="77777777" w:rsidR="00BA2F85" w:rsidRPr="00BA2F85" w:rsidRDefault="00BA2F85" w:rsidP="00BA2F85">
      <w:pPr>
        <w:shd w:val="clear" w:color="auto" w:fill="FFFFFF"/>
        <w:spacing w:before="600" w:after="300" w:line="240" w:lineRule="auto"/>
        <w:outlineLvl w:val="2"/>
        <w:rPr>
          <w:rFonts w:ascii="Source Sans Pro" w:eastAsia="Times New Roman" w:hAnsi="Source Sans Pro" w:cs="Times New Roman"/>
          <w:b/>
          <w:bCs/>
          <w:color w:val="1B1B1B"/>
          <w:kern w:val="0"/>
          <w:sz w:val="32"/>
          <w:szCs w:val="32"/>
          <w14:ligatures w14:val="none"/>
        </w:rPr>
      </w:pPr>
      <w:r w:rsidRPr="00BA2F85">
        <w:rPr>
          <w:rFonts w:ascii="Source Sans Pro" w:eastAsia="Times New Roman" w:hAnsi="Source Sans Pro" w:cs="Times New Roman"/>
          <w:b/>
          <w:bCs/>
          <w:color w:val="1B1B1B"/>
          <w:kern w:val="0"/>
          <w:sz w:val="32"/>
          <w:szCs w:val="32"/>
          <w14:ligatures w14:val="none"/>
        </w:rPr>
        <w:t>Organization</w:t>
      </w:r>
    </w:p>
    <w:p w14:paraId="4BDE9DC8"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Organization costs are allowable under this program. States and territories must justify proposed expenditures of SLCGP funds to support organization activities within their IJ and PW submissions. Organizational activities may include the following: </w:t>
      </w:r>
    </w:p>
    <w:p w14:paraId="3657EB15" w14:textId="77777777" w:rsidR="00BA2F85" w:rsidRPr="00BA2F85" w:rsidRDefault="00BA2F85" w:rsidP="00BA2F85">
      <w:pPr>
        <w:numPr>
          <w:ilvl w:val="0"/>
          <w:numId w:val="1"/>
        </w:numPr>
        <w:shd w:val="clear" w:color="auto" w:fill="FFFFFF"/>
        <w:spacing w:before="100" w:beforeAutospacing="1" w:after="300" w:line="240" w:lineRule="auto"/>
        <w:ind w:left="945"/>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 xml:space="preserve">Program </w:t>
      </w:r>
      <w:proofErr w:type="gramStart"/>
      <w:r w:rsidRPr="00BA2F85">
        <w:rPr>
          <w:rFonts w:ascii="Source Sans Pro" w:eastAsia="Times New Roman" w:hAnsi="Source Sans Pro" w:cs="Times New Roman"/>
          <w:color w:val="1B1B1B"/>
          <w:kern w:val="0"/>
          <w:sz w:val="26"/>
          <w:szCs w:val="26"/>
          <w14:ligatures w14:val="none"/>
        </w:rPr>
        <w:t>management;</w:t>
      </w:r>
      <w:proofErr w:type="gramEnd"/>
      <w:r w:rsidRPr="00BA2F85">
        <w:rPr>
          <w:rFonts w:ascii="Source Sans Pro" w:eastAsia="Times New Roman" w:hAnsi="Source Sans Pro" w:cs="Times New Roman"/>
          <w:color w:val="1B1B1B"/>
          <w:kern w:val="0"/>
          <w:sz w:val="26"/>
          <w:szCs w:val="26"/>
          <w14:ligatures w14:val="none"/>
        </w:rPr>
        <w:t> </w:t>
      </w:r>
    </w:p>
    <w:p w14:paraId="65E24DE8" w14:textId="77777777" w:rsidR="00BA2F85" w:rsidRPr="00BA2F85" w:rsidRDefault="00BA2F85" w:rsidP="00BA2F85">
      <w:pPr>
        <w:numPr>
          <w:ilvl w:val="0"/>
          <w:numId w:val="1"/>
        </w:numPr>
        <w:shd w:val="clear" w:color="auto" w:fill="FFFFFF"/>
        <w:spacing w:before="100" w:beforeAutospacing="1" w:after="300" w:line="240" w:lineRule="auto"/>
        <w:ind w:left="945"/>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 xml:space="preserve">Development of whole community partnerships that support the approved Cybersecurity Planning </w:t>
      </w:r>
      <w:proofErr w:type="gramStart"/>
      <w:r w:rsidRPr="00BA2F85">
        <w:rPr>
          <w:rFonts w:ascii="Source Sans Pro" w:eastAsia="Times New Roman" w:hAnsi="Source Sans Pro" w:cs="Times New Roman"/>
          <w:color w:val="1B1B1B"/>
          <w:kern w:val="0"/>
          <w:sz w:val="26"/>
          <w:szCs w:val="26"/>
          <w14:ligatures w14:val="none"/>
        </w:rPr>
        <w:t>Committee;</w:t>
      </w:r>
      <w:proofErr w:type="gramEnd"/>
      <w:r w:rsidRPr="00BA2F85">
        <w:rPr>
          <w:rFonts w:ascii="Source Sans Pro" w:eastAsia="Times New Roman" w:hAnsi="Source Sans Pro" w:cs="Times New Roman"/>
          <w:color w:val="1B1B1B"/>
          <w:kern w:val="0"/>
          <w:sz w:val="26"/>
          <w:szCs w:val="26"/>
          <w14:ligatures w14:val="none"/>
        </w:rPr>
        <w:t> </w:t>
      </w:r>
    </w:p>
    <w:p w14:paraId="35D3AFD9" w14:textId="77777777" w:rsidR="00BA2F85" w:rsidRPr="00BA2F85" w:rsidRDefault="00BA2F85" w:rsidP="00BA2F85">
      <w:pPr>
        <w:numPr>
          <w:ilvl w:val="0"/>
          <w:numId w:val="1"/>
        </w:numPr>
        <w:shd w:val="clear" w:color="auto" w:fill="FFFFFF"/>
        <w:spacing w:before="100" w:beforeAutospacing="1" w:after="300" w:line="240" w:lineRule="auto"/>
        <w:ind w:left="945"/>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lastRenderedPageBreak/>
        <w:t>Structures and mechanisms for information sharing between the public and private sector; and </w:t>
      </w:r>
    </w:p>
    <w:p w14:paraId="150DE742" w14:textId="77777777" w:rsidR="00BA2F85" w:rsidRPr="00BA2F85" w:rsidRDefault="00BA2F85" w:rsidP="00BA2F85">
      <w:pPr>
        <w:numPr>
          <w:ilvl w:val="0"/>
          <w:numId w:val="1"/>
        </w:numPr>
        <w:shd w:val="clear" w:color="auto" w:fill="FFFFFF"/>
        <w:spacing w:before="100" w:beforeAutospacing="1" w:after="300" w:line="240" w:lineRule="auto"/>
        <w:ind w:left="945"/>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Operational support</w:t>
      </w:r>
    </w:p>
    <w:p w14:paraId="516D9722"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Personnel hiring, overtime, and backfill expenses are permitted under this grant to perform allowable SLCGP POETE activities. Personnel expenses may include, but are not limited to training and exercise coordinators, program managers and planners, and cybersecurity navigators. The grant recipient must demonstrate that the personnel will be sustainable once the program ends or funds are no longer available.</w:t>
      </w:r>
    </w:p>
    <w:p w14:paraId="744BCA1E" w14:textId="77777777" w:rsidR="00BA2F85" w:rsidRPr="00BA2F85" w:rsidRDefault="00BA2F85" w:rsidP="00BA2F85">
      <w:pPr>
        <w:shd w:val="clear" w:color="auto" w:fill="FFFFFF"/>
        <w:spacing w:before="600" w:after="300" w:line="240" w:lineRule="auto"/>
        <w:outlineLvl w:val="2"/>
        <w:rPr>
          <w:rFonts w:ascii="Source Sans Pro" w:eastAsia="Times New Roman" w:hAnsi="Source Sans Pro" w:cs="Times New Roman"/>
          <w:b/>
          <w:bCs/>
          <w:color w:val="1B1B1B"/>
          <w:kern w:val="0"/>
          <w:sz w:val="32"/>
          <w:szCs w:val="32"/>
          <w14:ligatures w14:val="none"/>
        </w:rPr>
      </w:pPr>
      <w:r w:rsidRPr="00BA2F85">
        <w:rPr>
          <w:rFonts w:ascii="Source Sans Pro" w:eastAsia="Times New Roman" w:hAnsi="Source Sans Pro" w:cs="Times New Roman"/>
          <w:b/>
          <w:bCs/>
          <w:color w:val="1B1B1B"/>
          <w:kern w:val="0"/>
          <w:sz w:val="32"/>
          <w:szCs w:val="32"/>
          <w14:ligatures w14:val="none"/>
        </w:rPr>
        <w:t>Equipment</w:t>
      </w:r>
    </w:p>
    <w:p w14:paraId="1A95C7C7"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Equipment costs are allowable under this program. SLCGP equipment is intended to be used to address cybersecurity risks and cybersecurity threats to information systems owned or operated by, or on behalf of SLT governments.</w:t>
      </w:r>
    </w:p>
    <w:p w14:paraId="7F1DDFE7"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Unless otherwise stated, all equipment must meet all applicable statutory, regulatory, and DHS standards to be eligible for purchase using these funds. Please refer to FEMA’s </w:t>
      </w:r>
      <w:hyperlink r:id="rId5" w:history="1">
        <w:r w:rsidRPr="00BA2F85">
          <w:rPr>
            <w:rFonts w:ascii="Source Sans Pro" w:eastAsia="Times New Roman" w:hAnsi="Source Sans Pro" w:cs="Times New Roman"/>
            <w:color w:val="005288"/>
            <w:kern w:val="0"/>
            <w:sz w:val="26"/>
            <w:szCs w:val="26"/>
            <w:u w:val="single"/>
            <w14:ligatures w14:val="none"/>
          </w:rPr>
          <w:t>Authorized Equipment List | FEMA.gov</w:t>
        </w:r>
      </w:hyperlink>
      <w:r w:rsidRPr="00BA2F85">
        <w:rPr>
          <w:rFonts w:ascii="Source Sans Pro" w:eastAsia="Times New Roman" w:hAnsi="Source Sans Pro" w:cs="Times New Roman"/>
          <w:color w:val="1B1B1B"/>
          <w:kern w:val="0"/>
          <w:sz w:val="26"/>
          <w:szCs w:val="26"/>
          <w14:ligatures w14:val="none"/>
        </w:rPr>
        <w:t>. In addition, recipients will be responsible for obtaining and maintaining all necessary certifications and licenses for the requested equipment. Investments in emergency communications systems and equipment must meet applicable </w:t>
      </w:r>
      <w:hyperlink r:id="rId6" w:history="1">
        <w:r w:rsidRPr="00BA2F85">
          <w:rPr>
            <w:rFonts w:ascii="Source Sans Pro" w:eastAsia="Times New Roman" w:hAnsi="Source Sans Pro" w:cs="Times New Roman"/>
            <w:color w:val="005288"/>
            <w:kern w:val="0"/>
            <w:sz w:val="26"/>
            <w:szCs w:val="26"/>
            <w:u w:val="single"/>
            <w14:ligatures w14:val="none"/>
          </w:rPr>
          <w:t>SAFECOM Guidance</w:t>
        </w:r>
      </w:hyperlink>
      <w:r w:rsidRPr="00BA2F85">
        <w:rPr>
          <w:rFonts w:ascii="Source Sans Pro" w:eastAsia="Times New Roman" w:hAnsi="Source Sans Pro" w:cs="Times New Roman"/>
          <w:color w:val="1B1B1B"/>
          <w:kern w:val="0"/>
          <w:sz w:val="26"/>
          <w:szCs w:val="26"/>
          <w14:ligatures w14:val="none"/>
        </w:rPr>
        <w:t> recommendations. Such investments must be coordinated with the Statewide Inoperability Coordinator (SWIC) and the State Interoperability Governing Body (SIGB) to ensure interoperability and long-term compatibility. </w:t>
      </w:r>
    </w:p>
    <w:p w14:paraId="38238D1D"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 xml:space="preserve">SLCGP funds may be used to purchase maintenance contracts or agreements, warranty coverage, licenses, and user fees in support of a system or equipment. These contracts may exceed the period of performance if they are purchased incidental to the original purchase of the system or equipment </w:t>
      </w:r>
      <w:proofErr w:type="gramStart"/>
      <w:r w:rsidRPr="00BA2F85">
        <w:rPr>
          <w:rFonts w:ascii="Source Sans Pro" w:eastAsia="Times New Roman" w:hAnsi="Source Sans Pro" w:cs="Times New Roman"/>
          <w:color w:val="1B1B1B"/>
          <w:kern w:val="0"/>
          <w:sz w:val="26"/>
          <w:szCs w:val="26"/>
          <w14:ligatures w14:val="none"/>
        </w:rPr>
        <w:t>as long as</w:t>
      </w:r>
      <w:proofErr w:type="gramEnd"/>
      <w:r w:rsidRPr="00BA2F85">
        <w:rPr>
          <w:rFonts w:ascii="Source Sans Pro" w:eastAsia="Times New Roman" w:hAnsi="Source Sans Pro" w:cs="Times New Roman"/>
          <w:color w:val="1B1B1B"/>
          <w:kern w:val="0"/>
          <w:sz w:val="26"/>
          <w:szCs w:val="26"/>
          <w14:ligatures w14:val="none"/>
        </w:rPr>
        <w:t xml:space="preserve"> the original purchase of the system or equipment is consistent with that which is typically provided for, or available through, these types of agreements, warranties, or contracts. When purchasing a stand-alone warranty or extending an existing maintenance contract on an already-owned piece of equipment system, coverage purchased may not exceed the period of performance of the award used to purchase the maintenance agreement or warranty, and it may only cover equipment purchased with SLCGP funds or for </w:t>
      </w:r>
      <w:r w:rsidRPr="00BA2F85">
        <w:rPr>
          <w:rFonts w:ascii="Source Sans Pro" w:eastAsia="Times New Roman" w:hAnsi="Source Sans Pro" w:cs="Times New Roman"/>
          <w:color w:val="1B1B1B"/>
          <w:kern w:val="0"/>
          <w:sz w:val="26"/>
          <w:szCs w:val="26"/>
          <w14:ligatures w14:val="none"/>
        </w:rPr>
        <w:lastRenderedPageBreak/>
        <w:t>equipment dedicated for SLCGP-related purposes. As with warranties and maintenance agreements, this extends to licenses and user fees as well. </w:t>
      </w:r>
    </w:p>
    <w:p w14:paraId="46E97677"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The use of SLCGP grant funds for maintenance contracts, warranties, repair or replacement costs, upgrades, and user fees are allowable, unless otherwise noted. Except for maintenance plans or extended warranties purchased incidental to the original purchase of the equipment, the period covered by maintenance or warranty plan must not exceed the POP of the specific grant funds used to purchase the plan or warranty.</w:t>
      </w:r>
    </w:p>
    <w:p w14:paraId="05728069" w14:textId="77777777" w:rsidR="00BA2F85" w:rsidRPr="00BA2F85" w:rsidRDefault="00BA2F85" w:rsidP="00BA2F85">
      <w:pPr>
        <w:shd w:val="clear" w:color="auto" w:fill="FFFFFF"/>
        <w:spacing w:before="600" w:after="300" w:line="240" w:lineRule="auto"/>
        <w:outlineLvl w:val="2"/>
        <w:rPr>
          <w:rFonts w:ascii="Source Sans Pro" w:eastAsia="Times New Roman" w:hAnsi="Source Sans Pro" w:cs="Times New Roman"/>
          <w:b/>
          <w:bCs/>
          <w:color w:val="1B1B1B"/>
          <w:kern w:val="0"/>
          <w:sz w:val="32"/>
          <w:szCs w:val="32"/>
          <w14:ligatures w14:val="none"/>
        </w:rPr>
      </w:pPr>
      <w:r w:rsidRPr="00BA2F85">
        <w:rPr>
          <w:rFonts w:ascii="Source Sans Pro" w:eastAsia="Times New Roman" w:hAnsi="Source Sans Pro" w:cs="Times New Roman"/>
          <w:b/>
          <w:bCs/>
          <w:color w:val="1B1B1B"/>
          <w:kern w:val="0"/>
          <w:sz w:val="32"/>
          <w:szCs w:val="32"/>
          <w14:ligatures w14:val="none"/>
        </w:rPr>
        <w:t>Training</w:t>
      </w:r>
    </w:p>
    <w:p w14:paraId="14B4F312"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Training costs are allowable under this program. Allowable training-related costs under SLCGP include the establishment, support, conduct, and attendance of training and/or in conjunction with training by other federal agencies. Training conducted using SLCGP funds should align to the eligible entity’s approved Cybersecurity Plan, address a performance gap identified through assessments, and contribute to building a capability that will be evaluated through a formal exercise. Any training or training gaps, including training related to underserved communities (e.g., children, seniors, individuals with disabilities or access and functional needs, individuals with diverse culture and language use, individuals with lower economic capacity and other underserved populations that may be more impacted by disasters) should be identified in the assessment and addressed in the eligible entity’s training cycle. Recipients are encouraged to use existing training rather than developing new courses. When developing new courses, recipients are encouraged to apply the Analyze, Design, Develop, Implement, and Evaluate model of instructional design.</w:t>
      </w:r>
    </w:p>
    <w:p w14:paraId="7CDDB27B"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Recipients are also encouraged to use FEMA’s </w:t>
      </w:r>
      <w:hyperlink r:id="rId7" w:history="1">
        <w:r w:rsidRPr="00BA2F85">
          <w:rPr>
            <w:rFonts w:ascii="Source Sans Pro" w:eastAsia="Times New Roman" w:hAnsi="Source Sans Pro" w:cs="Times New Roman"/>
            <w:color w:val="005288"/>
            <w:kern w:val="0"/>
            <w:sz w:val="26"/>
            <w:szCs w:val="26"/>
            <w:u w:val="single"/>
            <w14:ligatures w14:val="none"/>
          </w:rPr>
          <w:t>National Preparedness Course Catalog</w:t>
        </w:r>
      </w:hyperlink>
      <w:r w:rsidRPr="00BA2F85">
        <w:rPr>
          <w:rFonts w:ascii="Source Sans Pro" w:eastAsia="Times New Roman" w:hAnsi="Source Sans Pro" w:cs="Times New Roman"/>
          <w:color w:val="1B1B1B"/>
          <w:kern w:val="0"/>
          <w:sz w:val="26"/>
          <w:szCs w:val="26"/>
          <w14:ligatures w14:val="none"/>
        </w:rPr>
        <w:t>. Trainings include programs or courses developed for and delivered by institutions and organizations funded by FEMA. This includes the Center for Domestic Preparedness (CDP), the Emergency Management Institute (EMI), and FEMA’s Training Partner Programs, including the Continuing Training Grants (CTG), the National Domestic Preparedness Consortium (NDPC), the Rural Domestic Preparedness Consortium (RDPC), and other partners. The catalog features a wide range of course topics in multiple delivery modes to meet FEMA’s mission scope as well as the increasing training needs of federal, state, local, and territorial audiences.</w:t>
      </w:r>
    </w:p>
    <w:p w14:paraId="24AD8B1C"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lastRenderedPageBreak/>
        <w:t>CISA’s Federal Virtual Training Environment offers cybersecurity training to federal, state, local, tribal, and territorial government employees, which offer education and certifications aligned with the NICE Framework. Additional information can be found at </w:t>
      </w:r>
      <w:hyperlink r:id="rId8" w:history="1">
        <w:r w:rsidRPr="00BA2F85">
          <w:rPr>
            <w:rFonts w:ascii="Source Sans Pro" w:eastAsia="Times New Roman" w:hAnsi="Source Sans Pro" w:cs="Times New Roman"/>
            <w:color w:val="005288"/>
            <w:kern w:val="0"/>
            <w:sz w:val="26"/>
            <w:szCs w:val="26"/>
            <w:u w:val="single"/>
            <w14:ligatures w14:val="none"/>
          </w:rPr>
          <w:t>https://fedvte.usalearning.gov</w:t>
        </w:r>
      </w:hyperlink>
      <w:r w:rsidRPr="00BA2F85">
        <w:rPr>
          <w:rFonts w:ascii="Source Sans Pro" w:eastAsia="Times New Roman" w:hAnsi="Source Sans Pro" w:cs="Times New Roman"/>
          <w:color w:val="1B1B1B"/>
          <w:kern w:val="0"/>
          <w:sz w:val="26"/>
          <w:szCs w:val="26"/>
          <w14:ligatures w14:val="none"/>
        </w:rPr>
        <w:t>. </w:t>
      </w:r>
    </w:p>
    <w:p w14:paraId="30BE7B5A" w14:textId="77777777" w:rsidR="00BA2F85" w:rsidRPr="00BA2F85" w:rsidRDefault="00BA2F85" w:rsidP="00BA2F85">
      <w:pPr>
        <w:shd w:val="clear" w:color="auto" w:fill="FFFFFF"/>
        <w:spacing w:before="600" w:after="300" w:line="240" w:lineRule="auto"/>
        <w:outlineLvl w:val="2"/>
        <w:rPr>
          <w:rFonts w:ascii="Source Sans Pro" w:eastAsia="Times New Roman" w:hAnsi="Source Sans Pro" w:cs="Times New Roman"/>
          <w:b/>
          <w:bCs/>
          <w:color w:val="1B1B1B"/>
          <w:kern w:val="0"/>
          <w:sz w:val="32"/>
          <w:szCs w:val="32"/>
          <w14:ligatures w14:val="none"/>
        </w:rPr>
      </w:pPr>
      <w:r w:rsidRPr="00BA2F85">
        <w:rPr>
          <w:rFonts w:ascii="Source Sans Pro" w:eastAsia="Times New Roman" w:hAnsi="Source Sans Pro" w:cs="Times New Roman"/>
          <w:b/>
          <w:bCs/>
          <w:color w:val="1B1B1B"/>
          <w:kern w:val="0"/>
          <w:sz w:val="32"/>
          <w:szCs w:val="32"/>
          <w14:ligatures w14:val="none"/>
        </w:rPr>
        <w:t>Exercises</w:t>
      </w:r>
    </w:p>
    <w:p w14:paraId="168EFECB"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Exercise costs are allowable under this program. Exercises conducted with grant funding should be managed and conducted consistent with Homeland Security Exercise and Evaluation Program (HSEEP). HSEEP guidance for exercise design, development, conduct, evaluation, and improvement planning is located at </w:t>
      </w:r>
      <w:hyperlink r:id="rId9" w:history="1">
        <w:r w:rsidRPr="00BA2F85">
          <w:rPr>
            <w:rFonts w:ascii="Source Sans Pro" w:eastAsia="Times New Roman" w:hAnsi="Source Sans Pro" w:cs="Times New Roman"/>
            <w:color w:val="005288"/>
            <w:kern w:val="0"/>
            <w:sz w:val="26"/>
            <w:szCs w:val="26"/>
            <w:u w:val="single"/>
            <w14:ligatures w14:val="none"/>
          </w:rPr>
          <w:t>https://www.fema.gov/emergency-managers/national-preparedness/exercises/hseep</w:t>
        </w:r>
      </w:hyperlink>
      <w:r w:rsidRPr="00BA2F85">
        <w:rPr>
          <w:rFonts w:ascii="Source Sans Pro" w:eastAsia="Times New Roman" w:hAnsi="Source Sans Pro" w:cs="Times New Roman"/>
          <w:color w:val="1B1B1B"/>
          <w:kern w:val="0"/>
          <w:sz w:val="26"/>
          <w:szCs w:val="26"/>
          <w14:ligatures w14:val="none"/>
        </w:rPr>
        <w:t>.</w:t>
      </w:r>
    </w:p>
    <w:p w14:paraId="2CABD048" w14:textId="77777777" w:rsidR="00BA2F85" w:rsidRPr="00BA2F85" w:rsidRDefault="00BA2F85" w:rsidP="00BA2F85">
      <w:pPr>
        <w:shd w:val="clear" w:color="auto" w:fill="FFFFFF"/>
        <w:spacing w:after="300" w:line="240" w:lineRule="auto"/>
        <w:rPr>
          <w:rFonts w:ascii="Source Sans Pro" w:eastAsia="Times New Roman" w:hAnsi="Source Sans Pro" w:cs="Times New Roman"/>
          <w:color w:val="1B1B1B"/>
          <w:kern w:val="0"/>
          <w:sz w:val="26"/>
          <w:szCs w:val="26"/>
          <w14:ligatures w14:val="none"/>
        </w:rPr>
      </w:pPr>
      <w:r w:rsidRPr="00BA2F85">
        <w:rPr>
          <w:rFonts w:ascii="Source Sans Pro" w:eastAsia="Times New Roman" w:hAnsi="Source Sans Pro" w:cs="Times New Roman"/>
          <w:color w:val="1B1B1B"/>
          <w:kern w:val="0"/>
          <w:sz w:val="26"/>
          <w:szCs w:val="26"/>
          <w14:ligatures w14:val="none"/>
        </w:rPr>
        <w:t> </w:t>
      </w:r>
    </w:p>
    <w:p w14:paraId="580862BF" w14:textId="77777777" w:rsidR="00635D75" w:rsidRDefault="00635D75"/>
    <w:sectPr w:rsidR="00635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652"/>
    <w:multiLevelType w:val="multilevel"/>
    <w:tmpl w:val="C4BC0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85"/>
    <w:rsid w:val="00635D75"/>
    <w:rsid w:val="00BA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81D8"/>
  <w15:chartTrackingRefBased/>
  <w15:docId w15:val="{5CE39B54-700D-473C-A1F1-2A3B4C17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2F8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A2F8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F8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A2F8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A2F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A2F85"/>
    <w:rPr>
      <w:b/>
      <w:bCs/>
    </w:rPr>
  </w:style>
  <w:style w:type="character" w:styleId="Hyperlink">
    <w:name w:val="Hyperlink"/>
    <w:basedOn w:val="DefaultParagraphFont"/>
    <w:uiPriority w:val="99"/>
    <w:semiHidden/>
    <w:unhideWhenUsed/>
    <w:rsid w:val="00BA2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5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vte.usalearning.gov/" TargetMode="External"/><Relationship Id="rId3" Type="http://schemas.openxmlformats.org/officeDocument/2006/relationships/settings" Target="settings.xml"/><Relationship Id="rId7" Type="http://schemas.openxmlformats.org/officeDocument/2006/relationships/hyperlink" Target="https://www.firstrespondertraining.gov/frts/np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sa.gov/safecom/funding" TargetMode="External"/><Relationship Id="rId11" Type="http://schemas.openxmlformats.org/officeDocument/2006/relationships/theme" Target="theme/theme1.xml"/><Relationship Id="rId5" Type="http://schemas.openxmlformats.org/officeDocument/2006/relationships/hyperlink" Target="https://www.fema.gov/grants/tools/authorized-equipment-li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ma.gov/emergency-managers/national-preparedness/exercises/hs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McGinnis [OITS]</dc:creator>
  <cp:keywords/>
  <dc:description/>
  <cp:lastModifiedBy>Erin McGinnis [OITS]</cp:lastModifiedBy>
  <cp:revision>1</cp:revision>
  <dcterms:created xsi:type="dcterms:W3CDTF">2024-01-24T16:58:00Z</dcterms:created>
  <dcterms:modified xsi:type="dcterms:W3CDTF">2024-01-24T17:02:00Z</dcterms:modified>
</cp:coreProperties>
</file>